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行政处罚决定书</w:t>
      </w:r>
    </w:p>
    <w:p>
      <w:pPr>
        <w:spacing w:line="640" w:lineRule="exact"/>
        <w:jc w:val="center"/>
        <w:rPr>
          <w:rFonts w:ascii="仿宋_GB2312" w:hAnsi="Times New Roman" w:eastAsia="仿宋_GB2312" w:cs="仿宋_GB2312"/>
          <w:sz w:val="32"/>
          <w:szCs w:val="32"/>
        </w:rPr>
      </w:pPr>
      <w:r>
        <w:rPr>
          <w:sz w:val="32"/>
          <w:szCs w:val="32"/>
        </w:rPr>
        <w:pict>
          <v:shape id="_x0000_s1080" o:spid="_x0000_s1080" o:spt="32" type="#_x0000_t32" style="position:absolute;left:0pt;margin-left:2pt;margin-top:1638pt;height:0.1pt;width:453.7pt;z-index:251660288;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000000"/>
          <w:sz w:val="32"/>
          <w:szCs w:val="32"/>
        </w:rPr>
        <w:t>晋市监处</w:t>
      </w:r>
      <w:r>
        <w:rPr>
          <w:rFonts w:hint="eastAsia" w:ascii="仿宋_GB2312" w:hAnsi="Times New Roman" w:eastAsia="仿宋_GB2312" w:cs="仿宋_GB2312"/>
          <w:color w:val="000000"/>
          <w:sz w:val="32"/>
          <w:szCs w:val="32"/>
          <w:lang w:eastAsia="zh-CN"/>
        </w:rPr>
        <w:t>罚</w:t>
      </w:r>
      <w:r>
        <w:rPr>
          <w:rFonts w:hint="eastAsia" w:ascii="仿宋_GB2312" w:hAnsi="Times New Roman" w:eastAsia="仿宋_GB2312" w:cs="仿宋_GB2312"/>
          <w:color w:val="000000"/>
          <w:sz w:val="32"/>
          <w:szCs w:val="32"/>
        </w:rPr>
        <w:t xml:space="preserve"> 〔202</w:t>
      </w:r>
      <w:r>
        <w:rPr>
          <w:rFonts w:hint="eastAsia" w:ascii="仿宋_GB2312" w:hAnsi="Times New Roman" w:eastAsia="仿宋_GB2312" w:cs="仿宋_GB2312"/>
          <w:color w:val="000000"/>
          <w:sz w:val="32"/>
          <w:szCs w:val="32"/>
          <w:lang w:val="en-US" w:eastAsia="zh-CN"/>
        </w:rPr>
        <w:t>4</w:t>
      </w:r>
      <w:r>
        <w:rPr>
          <w:rFonts w:hint="eastAsia" w:ascii="仿宋_GB2312" w:hAnsi="Times New Roman" w:eastAsia="仿宋_GB2312" w:cs="仿宋_GB2312"/>
          <w:color w:val="000000"/>
          <w:sz w:val="32"/>
          <w:szCs w:val="32"/>
        </w:rPr>
        <w:t>〕</w:t>
      </w:r>
      <w:r>
        <w:rPr>
          <w:rFonts w:hint="eastAsia" w:ascii="仿宋_GB2312" w:hAnsi="Times New Roman" w:eastAsia="仿宋_GB2312" w:cs="仿宋_GB2312"/>
          <w:sz w:val="32"/>
          <w:szCs w:val="32"/>
        </w:rPr>
        <w:t>15-</w:t>
      </w:r>
      <w:r>
        <w:rPr>
          <w:rFonts w:hint="eastAsia" w:ascii="仿宋_GB2312" w:hAnsi="Times New Roman" w:eastAsia="仿宋_GB2312" w:cs="仿宋_GB2312"/>
          <w:sz w:val="32"/>
          <w:szCs w:val="32"/>
          <w:lang w:val="en-US" w:eastAsia="zh-CN"/>
        </w:rPr>
        <w:t>105</w:t>
      </w:r>
      <w:r>
        <w:rPr>
          <w:rFonts w:hint="eastAsia" w:ascii="仿宋_GB2312" w:hAnsi="Times New Roman" w:eastAsia="仿宋_GB2312" w:cs="仿宋_GB2312"/>
          <w:sz w:val="32"/>
          <w:szCs w:val="32"/>
        </w:rPr>
        <w:t>号</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w:t>
      </w:r>
      <w:r>
        <w:rPr>
          <w:rFonts w:hint="eastAsia" w:ascii="仿宋_GB2312" w:hAnsi="仿宋" w:eastAsia="仿宋_GB2312" w:cs="仿宋_GB2312"/>
          <w:kern w:val="1"/>
          <w:sz w:val="32"/>
          <w:szCs w:val="32"/>
          <w:lang w:val="en-US" w:eastAsia="zh-CN"/>
        </w:rPr>
        <w:t>邹立炜</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身份证号码：</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住所：</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联系电话：</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经营场所：福建省晋江市新塘街道湖格北路</w:t>
      </w:r>
      <w:r>
        <w:rPr>
          <w:rFonts w:ascii="仿宋_GB2312" w:hAnsi="仿宋" w:eastAsia="仿宋_GB2312" w:cs="仿宋_GB2312"/>
          <w:kern w:val="1"/>
          <w:sz w:val="28"/>
          <w:szCs w:val="28"/>
        </w:rPr>
        <w:t xml:space="preserve">  </w:t>
      </w:r>
    </w:p>
    <w:p>
      <w:pPr>
        <w:spacing w:line="520" w:lineRule="exact"/>
        <w:ind w:firstLine="645"/>
        <w:rPr>
          <w:rFonts w:hint="eastAsia" w:ascii="仿宋_GB2312" w:hAnsi="仿宋" w:eastAsia="仿宋_GB2312" w:cs="仿宋_GB2312"/>
          <w:sz w:val="32"/>
          <w:szCs w:val="32"/>
        </w:rPr>
      </w:pPr>
      <w:r>
        <w:rPr>
          <w:rFonts w:hint="eastAsia" w:ascii="仿宋_GB2312" w:hAnsi="仿宋" w:eastAsia="仿宋_GB2312" w:cs="仿宋_GB2312"/>
          <w:sz w:val="32"/>
          <w:szCs w:val="32"/>
        </w:rPr>
        <w:t>2024年7月5日，本局新塘街道市场监督管理所执法人员在日常检查中依法对位于福建省晋江市新塘街道湖格北路</w:t>
      </w:r>
      <w:r>
        <w:rPr>
          <w:rFonts w:hint="eastAsia" w:ascii="仿宋_GB2312" w:hAnsi="仿宋" w:eastAsia="仿宋_GB2312" w:cs="仿宋_GB2312"/>
          <w:sz w:val="32"/>
          <w:szCs w:val="32"/>
          <w:lang w:eastAsia="zh-CN"/>
        </w:rPr>
        <w:t>的经营场所</w:t>
      </w:r>
      <w:r>
        <w:rPr>
          <w:rFonts w:hint="eastAsia" w:ascii="仿宋_GB2312" w:hAnsi="仿宋" w:eastAsia="仿宋_GB2312" w:cs="仿宋_GB2312"/>
          <w:sz w:val="32"/>
          <w:szCs w:val="32"/>
        </w:rPr>
        <w:t>进行检查，现场当事人邹立炜正在从事小餐饮服务，当事人现场无法提供营业执照及食品经营许可证，当事人未经市场监督管理部门核准登记办理营业执照、食品经营许可证，擅自从事餐饮服务的行为违反了《福建省食品安全条例》第六十七条第一款之规定。即于2024年7月25日立案，现场执法人员依法对当事人的工具设备炒锅1个、汤锅1个、锅铲1个、勺子1把、碟子5个、碗5个进行扣押。</w:t>
      </w:r>
    </w:p>
    <w:p>
      <w:pPr>
        <w:spacing w:line="520" w:lineRule="exact"/>
        <w:ind w:firstLine="645"/>
        <w:rPr>
          <w:rFonts w:hint="eastAsia" w:ascii="仿宋_GB2312" w:hAnsi="仿宋" w:eastAsia="仿宋_GB2312" w:cs="仿宋_GB2312"/>
          <w:sz w:val="32"/>
          <w:szCs w:val="32"/>
        </w:rPr>
      </w:pPr>
      <w:r>
        <w:rPr>
          <w:rFonts w:hint="eastAsia" w:ascii="仿宋_GB2312" w:hAnsi="仿宋" w:eastAsia="仿宋_GB2312" w:cs="仿宋_GB2312"/>
          <w:sz w:val="32"/>
          <w:szCs w:val="32"/>
        </w:rPr>
        <w:t>经查实，当事人在未经市场监督管理部门核准登记</w:t>
      </w:r>
      <w:r>
        <w:rPr>
          <w:rFonts w:hint="eastAsia" w:ascii="仿宋_GB2312" w:hAnsi="仿宋" w:eastAsia="仿宋_GB2312" w:cs="仿宋_GB2312"/>
          <w:sz w:val="32"/>
          <w:szCs w:val="32"/>
          <w:lang w:eastAsia="zh-CN"/>
        </w:rPr>
        <w:t>办理</w:t>
      </w:r>
      <w:r>
        <w:rPr>
          <w:rFonts w:hint="eastAsia" w:ascii="仿宋_GB2312" w:hAnsi="仿宋" w:eastAsia="仿宋_GB2312" w:cs="仿宋_GB2312"/>
          <w:sz w:val="32"/>
          <w:szCs w:val="32"/>
        </w:rPr>
        <w:t>相关许可证，擅自于202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月开始经营，投资人民币</w:t>
      </w:r>
      <w:r>
        <w:rPr>
          <w:rFonts w:hint="eastAsia" w:ascii="仿宋_GB2312" w:hAnsi="仿宋" w:eastAsia="仿宋_GB2312" w:cs="仿宋_GB2312"/>
          <w:sz w:val="32"/>
          <w:szCs w:val="32"/>
          <w:lang w:val="en-US" w:eastAsia="zh-CN"/>
        </w:rPr>
        <w:t>1</w:t>
      </w:r>
      <w:r>
        <w:rPr>
          <w:rFonts w:hint="eastAsia" w:ascii="仿宋_GB2312" w:hAnsi="仿宋" w:eastAsia="仿宋_GB2312" w:cs="仿宋_GB2312"/>
          <w:sz w:val="32"/>
          <w:szCs w:val="32"/>
        </w:rPr>
        <w:t>万</w:t>
      </w:r>
      <w:r>
        <w:rPr>
          <w:rFonts w:hint="eastAsia" w:ascii="仿宋_GB2312" w:hAnsi="仿宋" w:eastAsia="仿宋_GB2312" w:cs="仿宋_GB2312"/>
          <w:sz w:val="32"/>
          <w:szCs w:val="32"/>
          <w:lang w:eastAsia="zh-CN"/>
        </w:rPr>
        <w:t>元</w:t>
      </w:r>
      <w:r>
        <w:rPr>
          <w:rFonts w:hint="eastAsia" w:ascii="仿宋_GB2312" w:hAnsi="仿宋" w:eastAsia="仿宋_GB2312" w:cs="仿宋_GB2312"/>
          <w:sz w:val="32"/>
          <w:szCs w:val="32"/>
        </w:rPr>
        <w:t>，购置主要设备炒锅1个、汤锅1个、锅铲1个、勺子1把、碟子5个、碗5个，</w:t>
      </w:r>
      <w:r>
        <w:rPr>
          <w:rFonts w:hint="eastAsia" w:ascii="仿宋_GB2312" w:hAnsi="仿宋" w:eastAsia="仿宋_GB2312" w:cs="仿宋_GB2312"/>
          <w:sz w:val="32"/>
          <w:szCs w:val="32"/>
          <w:lang w:val="en-US" w:eastAsia="zh-CN"/>
        </w:rPr>
        <w:t>以</w:t>
      </w:r>
      <w:r>
        <w:rPr>
          <w:rFonts w:hint="eastAsia" w:ascii="仿宋_GB2312" w:hAnsi="仿宋" w:eastAsia="仿宋_GB2312" w:cs="仿宋_GB2312"/>
          <w:sz w:val="32"/>
          <w:szCs w:val="32"/>
        </w:rPr>
        <w:t>个体工商户名义在福建省晋江市新塘街道湖格北路</w:t>
      </w:r>
      <w:bookmarkStart w:id="0" w:name="_GoBack"/>
      <w:bookmarkEnd w:id="0"/>
      <w:r>
        <w:rPr>
          <w:rFonts w:hint="eastAsia" w:ascii="仿宋_GB2312" w:hAnsi="仿宋" w:eastAsia="仿宋_GB2312" w:cs="仿宋_GB2312"/>
          <w:sz w:val="32"/>
          <w:szCs w:val="32"/>
        </w:rPr>
        <w:t xml:space="preserve">从事餐饮服务经营活动，经营至今经营额共1100元，据此认定本案违法所得为人民币1100元整。    </w:t>
      </w:r>
    </w:p>
    <w:p>
      <w:pPr>
        <w:spacing w:line="52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另</w:t>
      </w:r>
      <w:r>
        <w:rPr>
          <w:rFonts w:hint="eastAsia" w:ascii="仿宋_GB2312" w:hAnsi="仿宋" w:eastAsia="仿宋_GB2312" w:cs="仿宋_GB2312"/>
          <w:sz w:val="32"/>
          <w:szCs w:val="32"/>
          <w:lang w:eastAsia="zh-CN"/>
        </w:rPr>
        <w:t>经</w:t>
      </w:r>
      <w:r>
        <w:rPr>
          <w:rFonts w:hint="eastAsia" w:ascii="仿宋_GB2312" w:hAnsi="仿宋" w:eastAsia="仿宋_GB2312" w:cs="仿宋_GB2312"/>
          <w:sz w:val="32"/>
          <w:szCs w:val="32"/>
        </w:rPr>
        <w:t>查该经营场所为租赁，出租者与当事人有签订书面《房屋租赁合同》，有要求当事人需守法经营，且房屋出租的期间较短，无直接证据证明出租方为当事人实施上述违法行为提供便利。</w:t>
      </w:r>
    </w:p>
    <w:p>
      <w:pPr>
        <w:spacing w:line="520" w:lineRule="exact"/>
        <w:ind w:firstLine="645"/>
        <w:rPr>
          <w:rFonts w:ascii="仿宋_GB2312" w:hAnsi="仿宋" w:eastAsia="仿宋_GB2312" w:cs="仿宋_GB2312"/>
          <w:sz w:val="32"/>
          <w:szCs w:val="32"/>
        </w:rPr>
      </w:pPr>
      <w:r>
        <w:rPr>
          <w:rFonts w:hint="eastAsia" w:ascii="仿宋_GB2312" w:hAnsi="仿宋" w:eastAsia="仿宋_GB2312" w:cs="仿宋_GB2312"/>
          <w:color w:val="000000"/>
          <w:sz w:val="32"/>
          <w:szCs w:val="32"/>
        </w:rPr>
        <w:t>上述事实，主要有以下证据证明：现场笔录</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color w:val="000000"/>
          <w:sz w:val="32"/>
          <w:szCs w:val="32"/>
        </w:rPr>
        <w:t>现场照片、询问笔录、当事人身份证复印件、《房屋租赁合同》</w:t>
      </w:r>
      <w:r>
        <w:rPr>
          <w:rFonts w:hint="eastAsia" w:ascii="仿宋_GB2312" w:hAnsi="仿宋" w:eastAsia="仿宋_GB2312" w:cs="仿宋_GB2312"/>
          <w:sz w:val="32"/>
          <w:szCs w:val="32"/>
        </w:rPr>
        <w:t>。</w:t>
      </w:r>
      <w:r>
        <w:rPr>
          <w:rFonts w:ascii="仿宋_GB2312" w:hAnsi="仿宋" w:eastAsia="仿宋_GB2312" w:cs="仿宋_GB2312"/>
          <w:color w:val="000000"/>
          <w:sz w:val="32"/>
          <w:szCs w:val="32"/>
        </w:rPr>
        <w:t xml:space="preserve">                     </w:t>
      </w:r>
    </w:p>
    <w:p>
      <w:pPr>
        <w:spacing w:line="580" w:lineRule="exact"/>
        <w:ind w:firstLine="570"/>
        <w:rPr>
          <w:rFonts w:ascii="仿宋_GB2312" w:hAnsi="仿宋" w:eastAsia="仿宋_GB2312" w:cs="仿宋_GB2312"/>
          <w:color w:val="000000"/>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8</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21</w:t>
      </w:r>
      <w:r>
        <w:rPr>
          <w:rFonts w:hint="eastAsia" w:ascii="仿宋_GB2312" w:hAnsi="宋体" w:eastAsia="仿宋_GB2312"/>
          <w:sz w:val="32"/>
          <w:szCs w:val="32"/>
          <w:highlight w:val="none"/>
        </w:rPr>
        <w:t>日</w:t>
      </w:r>
      <w:r>
        <w:rPr>
          <w:rFonts w:hint="eastAsia" w:ascii="仿宋_GB2312" w:hAnsi="宋体" w:eastAsia="仿宋_GB2312"/>
          <w:sz w:val="32"/>
          <w:szCs w:val="32"/>
        </w:rPr>
        <w:t>本局向当事人送达了晋市监罚告</w:t>
      </w:r>
      <w:r>
        <w:rPr>
          <w:rFonts w:hint="eastAsia" w:ascii="仿宋_GB2312" w:hAnsi="Times New Roman" w:eastAsia="仿宋_GB2312" w:cs="仿宋_GB2312"/>
          <w:color w:val="000000"/>
          <w:sz w:val="32"/>
          <w:szCs w:val="32"/>
          <w:highlight w:val="none"/>
        </w:rPr>
        <w:t>〔202</w:t>
      </w:r>
      <w:r>
        <w:rPr>
          <w:rFonts w:hint="eastAsia" w:ascii="仿宋_GB2312" w:hAnsi="Times New Roman" w:eastAsia="仿宋_GB2312" w:cs="仿宋_GB2312"/>
          <w:color w:val="000000"/>
          <w:sz w:val="32"/>
          <w:szCs w:val="32"/>
          <w:highlight w:val="none"/>
          <w:lang w:val="en-US" w:eastAsia="zh-CN"/>
        </w:rPr>
        <w:t>4</w:t>
      </w:r>
      <w:r>
        <w:rPr>
          <w:rFonts w:hint="eastAsia" w:ascii="仿宋_GB2312" w:hAnsi="Times New Roman" w:eastAsia="仿宋_GB2312" w:cs="仿宋_GB2312"/>
          <w:color w:val="000000"/>
          <w:sz w:val="32"/>
          <w:szCs w:val="32"/>
          <w:highlight w:val="none"/>
        </w:rPr>
        <w:t>〕</w:t>
      </w:r>
      <w:r>
        <w:rPr>
          <w:rFonts w:hint="eastAsia" w:ascii="仿宋_GB2312" w:hAnsi="宋体" w:eastAsia="仿宋_GB2312"/>
          <w:sz w:val="32"/>
          <w:szCs w:val="32"/>
          <w:highlight w:val="none"/>
        </w:rPr>
        <w:t>15-</w:t>
      </w:r>
      <w:r>
        <w:rPr>
          <w:rFonts w:hint="eastAsia" w:ascii="仿宋_GB2312" w:hAnsi="宋体" w:eastAsia="仿宋_GB2312"/>
          <w:sz w:val="32"/>
          <w:szCs w:val="32"/>
          <w:highlight w:val="none"/>
          <w:lang w:val="en-US" w:eastAsia="zh-CN"/>
        </w:rPr>
        <w:t>132</w:t>
      </w:r>
      <w:r>
        <w:rPr>
          <w:rFonts w:hint="eastAsia" w:ascii="仿宋_GB2312" w:hAnsi="宋体" w:eastAsia="仿宋_GB2312"/>
          <w:sz w:val="32"/>
          <w:szCs w:val="32"/>
          <w:highlight w:val="none"/>
        </w:rPr>
        <w:t>号</w:t>
      </w:r>
      <w:r>
        <w:rPr>
          <w:rFonts w:hint="eastAsia" w:ascii="仿宋_GB2312" w:hAnsi="宋体" w:eastAsia="仿宋_GB2312"/>
          <w:sz w:val="32"/>
          <w:szCs w:val="32"/>
        </w:rPr>
        <w:t>《行政处罚告知书》，当事人在法定期限内未提出陈述、申辩。</w:t>
      </w:r>
      <w:r>
        <w:rPr>
          <w:rFonts w:hint="eastAsia" w:ascii="仿宋_GB2312" w:hAnsi="仿宋" w:eastAsia="仿宋_GB2312" w:cs="仿宋_GB2312"/>
          <w:color w:val="000000"/>
          <w:sz w:val="32"/>
          <w:szCs w:val="32"/>
        </w:rPr>
        <w:t xml:space="preserve"> </w:t>
      </w:r>
    </w:p>
    <w:p>
      <w:pPr>
        <w:spacing w:line="540" w:lineRule="exact"/>
        <w:ind w:firstLine="640" w:firstLineChars="200"/>
        <w:rPr>
          <w:rFonts w:ascii="仿宋_GB2312" w:hAnsi="宋体" w:eastAsia="仿宋_GB2312" w:cs="仿宋_GB2312"/>
          <w:sz w:val="32"/>
          <w:szCs w:val="32"/>
        </w:rPr>
      </w:pPr>
      <w:r>
        <w:rPr>
          <w:rFonts w:hint="eastAsia" w:ascii="仿宋_GB2312" w:hAnsi="仿宋" w:eastAsia="仿宋_GB2312" w:cs="仿宋_GB2312"/>
          <w:color w:val="000000"/>
          <w:sz w:val="32"/>
          <w:szCs w:val="32"/>
        </w:rPr>
        <w:t>当事人未经登记从事经营活动的行为违反了《中华人民共和国市场主体登记管理条例》第三条；当事人在未经登记小餐饮登记证的情况下，擅自从事小餐饮服务经营活动的行为违反《福建省食品安全条例》第六十七条第一款的规定。鉴于当事人积极配合调查，如实陈述违法事实并主动提供证据材料，符合《福建省市场监督管理局关于行政处罚裁量权适用规则》第十一条第（二）项之规定的从轻情节，参照福建省市场监督管理系统适用《福建省食品安全条例》行政处罚裁量基准条款代号FJSP-18从轻情节予以量罚。</w:t>
      </w:r>
      <w:r>
        <w:rPr>
          <w:rFonts w:hint="eastAsia" w:ascii="仿宋_GB2312" w:hAnsi="仿宋" w:eastAsia="仿宋_GB2312" w:cs="仿宋_GB2312"/>
          <w:color w:val="000000"/>
          <w:sz w:val="32"/>
          <w:szCs w:val="32"/>
          <w:lang w:eastAsia="zh-CN"/>
        </w:rPr>
        <w:t>依据《中华人民共和国市场主体登记管理条例》第四十三条和《福建省食品安全条例》第一百一十二条第二款的规定</w:t>
      </w:r>
      <w:r>
        <w:rPr>
          <w:rFonts w:hint="eastAsia" w:ascii="仿宋_GB2312" w:hAnsi="宋体" w:eastAsia="仿宋_GB2312" w:cs="仿宋_GB2312"/>
          <w:sz w:val="32"/>
          <w:szCs w:val="32"/>
        </w:rPr>
        <w:t>，决定对当事人作出处理如下：</w:t>
      </w:r>
    </w:p>
    <w:p>
      <w:pPr>
        <w:spacing w:line="540" w:lineRule="exact"/>
        <w:ind w:firstLine="630"/>
        <w:rPr>
          <w:rFonts w:hint="eastAsia" w:ascii="仿宋_GB2312" w:hAnsi="宋体" w:eastAsia="仿宋_GB2312" w:cs="仿宋_GB2312"/>
          <w:sz w:val="32"/>
          <w:szCs w:val="32"/>
        </w:rPr>
      </w:pPr>
      <w:r>
        <w:rPr>
          <w:rFonts w:hint="eastAsia" w:ascii="仿宋_GB2312" w:hAnsi="宋体" w:eastAsia="仿宋_GB2312" w:cs="仿宋_GB2312"/>
          <w:sz w:val="32"/>
          <w:szCs w:val="32"/>
        </w:rPr>
        <w:t>1、没收违法经营的工具</w:t>
      </w:r>
      <w:r>
        <w:rPr>
          <w:rFonts w:hint="eastAsia" w:ascii="仿宋_GB2312" w:hAnsi="仿宋" w:eastAsia="仿宋_GB2312" w:cs="仿宋_GB2312"/>
          <w:sz w:val="32"/>
          <w:szCs w:val="32"/>
        </w:rPr>
        <w:t>炒锅1个、汤锅1个、锅铲1个、勺子1把、碟子5个、碗5个</w:t>
      </w:r>
      <w:r>
        <w:rPr>
          <w:rFonts w:hint="eastAsia" w:ascii="仿宋_GB2312" w:hAnsi="宋体" w:eastAsia="仿宋_GB2312" w:cs="仿宋_GB2312"/>
          <w:sz w:val="32"/>
          <w:szCs w:val="32"/>
        </w:rPr>
        <w:t>；</w:t>
      </w:r>
    </w:p>
    <w:p>
      <w:pPr>
        <w:spacing w:line="540" w:lineRule="exact"/>
        <w:ind w:firstLine="63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2、没收违法所得</w:t>
      </w:r>
      <w:r>
        <w:rPr>
          <w:rFonts w:hint="eastAsia" w:ascii="仿宋_GB2312" w:hAnsi="宋体" w:eastAsia="仿宋_GB2312" w:cs="仿宋_GB2312"/>
          <w:sz w:val="32"/>
          <w:szCs w:val="32"/>
          <w:highlight w:val="none"/>
          <w:lang w:val="en-US" w:eastAsia="zh-CN"/>
        </w:rPr>
        <w:t>1100</w:t>
      </w:r>
      <w:r>
        <w:rPr>
          <w:rFonts w:hint="eastAsia" w:ascii="仿宋_GB2312" w:hAnsi="宋体" w:eastAsia="仿宋_GB2312" w:cs="仿宋_GB2312"/>
          <w:sz w:val="32"/>
          <w:szCs w:val="32"/>
          <w:highlight w:val="none"/>
        </w:rPr>
        <w:t>元；</w:t>
      </w:r>
    </w:p>
    <w:p>
      <w:pPr>
        <w:spacing w:line="540" w:lineRule="exact"/>
        <w:ind w:firstLine="630"/>
        <w:rPr>
          <w:rFonts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3、处以罚款</w:t>
      </w:r>
      <w:r>
        <w:rPr>
          <w:rFonts w:hint="eastAsia" w:ascii="仿宋_GB2312" w:hAnsi="宋体" w:eastAsia="仿宋_GB2312" w:cs="仿宋_GB2312"/>
          <w:sz w:val="32"/>
          <w:szCs w:val="32"/>
          <w:highlight w:val="none"/>
          <w:lang w:val="en-US" w:eastAsia="zh-CN"/>
        </w:rPr>
        <w:t>2000</w:t>
      </w:r>
      <w:r>
        <w:rPr>
          <w:rFonts w:hint="eastAsia" w:ascii="仿宋_GB2312" w:hAnsi="宋体" w:eastAsia="仿宋_GB2312" w:cs="仿宋_GB2312"/>
          <w:sz w:val="32"/>
          <w:szCs w:val="32"/>
          <w:highlight w:val="none"/>
        </w:rPr>
        <w:t xml:space="preserve">元。      </w:t>
      </w:r>
    </w:p>
    <w:p>
      <w:pPr>
        <w:numPr>
          <w:ilvl w:val="0"/>
          <w:numId w:val="0"/>
        </w:numPr>
        <w:spacing w:line="560" w:lineRule="exact"/>
        <w:ind w:firstLine="640" w:firstLineChars="200"/>
        <w:rPr>
          <w:rFonts w:hint="eastAsia" w:ascii="仿宋_GB2312" w:eastAsia="仿宋_GB2312" w:hAnsiTheme="minorEastAsia"/>
          <w:sz w:val="32"/>
          <w:szCs w:val="32"/>
        </w:rPr>
      </w:pPr>
      <w:r>
        <w:rPr>
          <w:rFonts w:hint="eastAsia" w:ascii="仿宋_GB2312" w:hAnsi="仿宋" w:eastAsia="仿宋_GB2312" w:cs="仿宋_GB2312"/>
          <w:color w:val="000000"/>
          <w:sz w:val="32"/>
          <w:szCs w:val="32"/>
          <w:highlight w:val="none"/>
        </w:rPr>
        <w:t>以上款项共</w:t>
      </w:r>
      <w:r>
        <w:rPr>
          <w:rFonts w:hint="eastAsia" w:ascii="仿宋_GB2312" w:hAnsi="仿宋" w:eastAsia="仿宋_GB2312" w:cs="仿宋_GB2312"/>
          <w:color w:val="000000"/>
          <w:sz w:val="32"/>
          <w:szCs w:val="32"/>
          <w:highlight w:val="none"/>
          <w:lang w:val="en-US" w:eastAsia="zh-CN"/>
        </w:rPr>
        <w:t>3100</w:t>
      </w:r>
      <w:r>
        <w:rPr>
          <w:rFonts w:hint="eastAsia" w:ascii="仿宋_GB2312" w:hAnsi="仿宋" w:eastAsia="仿宋_GB2312" w:cs="仿宋_GB2312"/>
          <w:color w:val="000000"/>
          <w:sz w:val="32"/>
          <w:szCs w:val="32"/>
          <w:highlight w:val="none"/>
        </w:rPr>
        <w:t>元，</w:t>
      </w:r>
      <w:r>
        <w:rPr>
          <w:rFonts w:hint="eastAsia" w:ascii="仿宋_GB2312" w:eastAsia="仿宋_GB2312" w:hAnsiTheme="minorEastAsia"/>
          <w:sz w:val="32"/>
          <w:szCs w:val="32"/>
        </w:rPr>
        <w:t>当事人应当自收到本决定书之日起十五日内，</w:t>
      </w:r>
      <w:r>
        <w:rPr>
          <w:rFonts w:hint="eastAsia" w:ascii="仿宋_GB2312" w:eastAsia="仿宋_GB2312" w:hAnsiTheme="minorEastAsia"/>
          <w:sz w:val="32"/>
          <w:szCs w:val="32"/>
          <w:lang w:eastAsia="zh-CN"/>
        </w:rPr>
        <w:t>凭</w:t>
      </w:r>
      <w:r>
        <w:rPr>
          <w:rFonts w:hint="eastAsia" w:ascii="仿宋_GB2312" w:eastAsia="仿宋_GB2312" w:hAnsiTheme="minorEastAsia"/>
          <w:sz w:val="32"/>
          <w:szCs w:val="32"/>
        </w:rPr>
        <w:t>福建省政府非税收入缴款通知书</w:t>
      </w:r>
      <w:r>
        <w:rPr>
          <w:rFonts w:hint="eastAsia" w:ascii="仿宋_GB2312" w:eastAsia="仿宋_GB2312" w:hAnsiTheme="minorEastAsia"/>
          <w:sz w:val="32"/>
          <w:szCs w:val="32"/>
          <w:lang w:eastAsia="zh-CN"/>
        </w:rPr>
        <w:t>（缴款码）通过银行网点或者</w:t>
      </w:r>
      <w:r>
        <w:rPr>
          <w:rFonts w:hint="eastAsia" w:ascii="仿宋_GB2312" w:eastAsia="仿宋_GB2312" w:hAnsiTheme="minorEastAsia"/>
          <w:color w:val="auto"/>
          <w:sz w:val="32"/>
          <w:szCs w:val="32"/>
          <w:lang w:eastAsia="zh-CN"/>
        </w:rPr>
        <w:t>电子支付系统缴款</w:t>
      </w:r>
      <w:r>
        <w:rPr>
          <w:rFonts w:hint="eastAsia" w:ascii="仿宋_GB2312" w:eastAsia="仿宋_GB2312" w:hAnsiTheme="minorEastAsia"/>
          <w:sz w:val="32"/>
          <w:szCs w:val="32"/>
        </w:rPr>
        <w:t>。当事人逾期不履行行政处罚决定的，本局将依据《中华人民共和国行政处罚法》第七十二条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580" w:lineRule="exact"/>
        <w:ind w:firstLine="570"/>
        <w:rPr>
          <w:rFonts w:hint="eastAsia" w:ascii="仿宋_GB2312" w:eastAsia="仿宋_GB2312" w:hAnsiTheme="minorEastAsia"/>
          <w:sz w:val="32"/>
          <w:szCs w:val="32"/>
        </w:rPr>
      </w:pPr>
      <w:r>
        <w:rPr>
          <w:rFonts w:hint="eastAsia" w:ascii="仿宋_GB2312" w:eastAsia="仿宋_GB2312" w:hAnsiTheme="minorEastAsia"/>
          <w:sz w:val="32"/>
          <w:szCs w:val="32"/>
        </w:rPr>
        <w:t>当事人如不服本行政处罚决定的，可在接到本行政处罚决定书之日起六十日内向晋江市人民政府申请复议，也可在六个月内直接向人民法院提起诉讼。当事人对行政处罚决定不服申请复议或者提起行政诉讼的，行政处罚不停止执行</w:t>
      </w:r>
      <w:r>
        <w:rPr>
          <w:rFonts w:hint="eastAsia" w:ascii="仿宋_GB2312" w:eastAsia="仿宋_GB2312"/>
          <w:sz w:val="32"/>
          <w:szCs w:val="32"/>
          <w:lang w:eastAsia="zh-CN"/>
        </w:rPr>
        <w:t>，法律、法规、规章另有规定的，从其规定</w:t>
      </w:r>
      <w:r>
        <w:rPr>
          <w:rFonts w:hint="eastAsia" w:ascii="仿宋_GB2312" w:eastAsia="仿宋_GB2312" w:hAnsiTheme="minorEastAsia"/>
          <w:sz w:val="32"/>
          <w:szCs w:val="32"/>
        </w:rPr>
        <w:t>。</w:t>
      </w:r>
    </w:p>
    <w:p>
      <w:pPr>
        <w:spacing w:line="580" w:lineRule="exact"/>
        <w:ind w:firstLine="570"/>
        <w:rPr>
          <w:rFonts w:hint="eastAsia" w:ascii="仿宋_GB2312" w:eastAsia="仿宋_GB2312" w:hAnsiTheme="minorEastAsia"/>
          <w:sz w:val="32"/>
          <w:szCs w:val="32"/>
        </w:rPr>
      </w:pPr>
    </w:p>
    <w:p>
      <w:pPr>
        <w:spacing w:line="580" w:lineRule="exact"/>
        <w:ind w:firstLine="570"/>
        <w:rPr>
          <w:rFonts w:hint="eastAsia" w:ascii="仿宋_GB2312" w:eastAsia="仿宋_GB2312" w:hAnsiTheme="minorEastAsia"/>
          <w:sz w:val="32"/>
          <w:szCs w:val="32"/>
        </w:rPr>
      </w:pPr>
    </w:p>
    <w:p>
      <w:pPr>
        <w:spacing w:line="580" w:lineRule="exact"/>
        <w:ind w:firstLine="570"/>
        <w:rPr>
          <w:rFonts w:hint="eastAsia" w:ascii="仿宋_GB2312" w:eastAsia="仿宋_GB2312" w:hAnsiTheme="minorEastAsia"/>
          <w:sz w:val="32"/>
          <w:szCs w:val="32"/>
        </w:rPr>
      </w:pPr>
    </w:p>
    <w:p>
      <w:pPr>
        <w:spacing w:line="500" w:lineRule="exact"/>
        <w:ind w:firstLine="601"/>
        <w:jc w:val="center"/>
        <w:rPr>
          <w:rFonts w:ascii="仿宋_GB2312" w:hAnsi="仿宋" w:eastAsia="仿宋_GB2312" w:cs="Times New Roman"/>
          <w:color w:val="000000"/>
          <w:sz w:val="32"/>
          <w:szCs w:val="32"/>
        </w:rPr>
      </w:pP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晋江市市场监督管理局</w:t>
      </w:r>
    </w:p>
    <w:p>
      <w:pPr>
        <w:spacing w:line="500" w:lineRule="exact"/>
        <w:ind w:right="640" w:firstLine="600"/>
        <w:jc w:val="center"/>
        <w:rPr>
          <w:rFonts w:ascii="仿宋_GB2312" w:hAnsi="仿宋" w:eastAsia="仿宋_GB2312" w:cs="仿宋_GB2312"/>
          <w:sz w:val="32"/>
          <w:szCs w:val="32"/>
        </w:rPr>
      </w:pPr>
      <w:r>
        <w:rPr>
          <w:rFonts w:ascii="仿宋_GB2312" w:hAnsi="仿宋" w:eastAsia="仿宋_GB2312" w:cs="仿宋_GB2312"/>
          <w:color w:val="000000"/>
          <w:sz w:val="32"/>
          <w:szCs w:val="32"/>
        </w:rPr>
        <w:t xml:space="preserve">                              </w:t>
      </w:r>
      <w:r>
        <w:rPr>
          <w:rFonts w:ascii="仿宋_GB2312" w:hAnsi="仿宋" w:eastAsia="仿宋_GB2312" w:cs="仿宋_GB2312"/>
          <w:color w:val="000000"/>
          <w:sz w:val="32"/>
          <w:szCs w:val="32"/>
          <w:highlight w:val="none"/>
        </w:rPr>
        <w:t xml:space="preserve"> </w:t>
      </w:r>
      <w:r>
        <w:rPr>
          <w:rFonts w:hint="eastAsia" w:ascii="仿宋_GB2312" w:hAnsi="仿宋" w:eastAsia="仿宋_GB2312" w:cs="仿宋_GB2312"/>
          <w:sz w:val="32"/>
          <w:szCs w:val="32"/>
          <w:highlight w:val="none"/>
        </w:rPr>
        <w:t>202</w:t>
      </w:r>
      <w:r>
        <w:rPr>
          <w:rFonts w:hint="eastAsia" w:ascii="仿宋_GB2312" w:hAnsi="仿宋" w:eastAsia="仿宋_GB2312" w:cs="仿宋_GB2312"/>
          <w:sz w:val="32"/>
          <w:szCs w:val="32"/>
          <w:highlight w:val="none"/>
          <w:lang w:val="en-US" w:eastAsia="zh-CN"/>
        </w:rPr>
        <w:t>4</w:t>
      </w:r>
      <w:r>
        <w:rPr>
          <w:rFonts w:hint="eastAsia" w:ascii="仿宋_GB2312" w:hAnsi="仿宋" w:eastAsia="仿宋_GB2312" w:cs="仿宋_GB2312"/>
          <w:sz w:val="32"/>
          <w:szCs w:val="32"/>
          <w:highlight w:val="none"/>
        </w:rPr>
        <w:t>年</w:t>
      </w:r>
      <w:r>
        <w:rPr>
          <w:rFonts w:hint="eastAsia" w:ascii="仿宋_GB2312" w:hAnsi="仿宋" w:eastAsia="仿宋_GB2312" w:cs="仿宋_GB2312"/>
          <w:sz w:val="32"/>
          <w:szCs w:val="32"/>
          <w:highlight w:val="none"/>
          <w:lang w:val="en-US" w:eastAsia="zh-CN"/>
        </w:rPr>
        <w:t>8</w:t>
      </w:r>
      <w:r>
        <w:rPr>
          <w:rFonts w:hint="eastAsia" w:ascii="仿宋_GB2312" w:hAnsi="仿宋" w:eastAsia="仿宋_GB2312" w:cs="仿宋_GB2312"/>
          <w:sz w:val="32"/>
          <w:szCs w:val="32"/>
          <w:highlight w:val="none"/>
        </w:rPr>
        <w:t>月</w:t>
      </w:r>
      <w:r>
        <w:rPr>
          <w:rFonts w:hint="eastAsia" w:ascii="仿宋_GB2312" w:hAnsi="仿宋" w:eastAsia="仿宋_GB2312" w:cs="仿宋_GB2312"/>
          <w:sz w:val="32"/>
          <w:szCs w:val="32"/>
          <w:highlight w:val="none"/>
          <w:lang w:val="en-US" w:eastAsia="zh-CN"/>
        </w:rPr>
        <w:t>29</w:t>
      </w:r>
      <w:r>
        <w:rPr>
          <w:rFonts w:hint="eastAsia" w:ascii="仿宋_GB2312" w:hAnsi="仿宋" w:eastAsia="仿宋_GB2312" w:cs="仿宋_GB2312"/>
          <w:sz w:val="32"/>
          <w:szCs w:val="32"/>
          <w:highlight w:val="none"/>
        </w:rPr>
        <w:t>日</w:t>
      </w:r>
    </w:p>
    <w:p>
      <w:pPr>
        <w:wordWrap w:val="0"/>
        <w:snapToGrid w:val="0"/>
        <w:spacing w:line="520" w:lineRule="exact"/>
        <w:rPr>
          <w:rFonts w:ascii="仿宋_GB2312" w:hAnsi="黑体" w:eastAsia="仿宋_GB2312" w:cs="Times New Roman"/>
          <w:color w:val="000000"/>
          <w:sz w:val="32"/>
          <w:szCs w:val="32"/>
          <w:u w:val="single"/>
        </w:rPr>
      </w:pPr>
      <w:r>
        <w:rPr>
          <w:rFonts w:hint="eastAsia" w:ascii="仿宋_GB2312" w:hAnsi="黑体" w:eastAsia="仿宋_GB2312" w:cs="仿宋_GB2312"/>
          <w:color w:val="000000"/>
          <w:sz w:val="32"/>
          <w:szCs w:val="32"/>
          <w:u w:val="single"/>
        </w:rPr>
        <w:t>（</w:t>
      </w:r>
      <w:r>
        <w:rPr>
          <w:rFonts w:hint="eastAsia" w:ascii="黑体" w:hAnsi="黑体" w:eastAsia="黑体" w:cs="黑体"/>
          <w:b/>
          <w:bCs/>
          <w:color w:val="000000"/>
          <w:sz w:val="32"/>
          <w:szCs w:val="32"/>
          <w:u w:val="single"/>
        </w:rPr>
        <w:t>市场监督管理部门将依法向社会公示本行政处罚决定信息</w:t>
      </w:r>
      <w:r>
        <w:rPr>
          <w:rFonts w:hint="eastAsia" w:ascii="仿宋_GB2312" w:hAnsi="黑体" w:eastAsia="仿宋_GB2312" w:cs="仿宋_GB2312"/>
          <w:color w:val="000000"/>
          <w:sz w:val="32"/>
          <w:szCs w:val="32"/>
          <w:u w:val="single"/>
        </w:rPr>
        <w:t>）</w:t>
      </w:r>
    </w:p>
    <w:p>
      <w:pPr>
        <w:spacing w:line="520" w:lineRule="exact"/>
        <w:jc w:val="center"/>
        <w:rPr>
          <w:rFonts w:ascii="仿宋_GB2312" w:hAnsi="仿宋" w:eastAsia="仿宋_GB2312" w:cs="Times New Roman"/>
          <w:color w:val="000000"/>
          <w:sz w:val="32"/>
          <w:szCs w:val="32"/>
        </w:rPr>
      </w:pPr>
      <w:r>
        <w:pict>
          <v:line id="_x0000_s1076" o:spid="_x0000_s1076"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_GB2312" w:hAnsi="仿宋" w:eastAsia="仿宋_GB2312" w:cs="仿宋_GB2312"/>
          <w:color w:val="000000"/>
          <w:sz w:val="32"/>
          <w:szCs w:val="32"/>
        </w:rPr>
        <w:t>本文书一式三份，一份送达，二份归档。</w:t>
      </w:r>
    </w:p>
    <w:sectPr>
      <w:footerReference r:id="rId3" w:type="default"/>
      <w:pgSz w:w="11906" w:h="16838"/>
      <w:pgMar w:top="1440" w:right="1559" w:bottom="1440" w:left="1559"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34" w:firstLine="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5"/>
                  <w:ind w:right="-420" w:rightChars="-200"/>
                  <w:rPr>
                    <w:rStyle w:val="10"/>
                    <w:rFonts w:ascii="宋体"/>
                    <w:sz w:val="28"/>
                    <w:szCs w:val="28"/>
                  </w:rPr>
                </w:pPr>
                <w:r>
                  <w:rPr>
                    <w:rStyle w:val="10"/>
                    <w:rFonts w:ascii="宋体" w:hAnsi="宋体" w:cs="宋体"/>
                    <w:sz w:val="28"/>
                    <w:szCs w:val="28"/>
                  </w:rPr>
                  <w:fldChar w:fldCharType="begin"/>
                </w:r>
                <w:r>
                  <w:rPr>
                    <w:rStyle w:val="10"/>
                    <w:rFonts w:ascii="宋体" w:hAnsi="宋体" w:cs="宋体"/>
                    <w:sz w:val="28"/>
                    <w:szCs w:val="28"/>
                  </w:rPr>
                  <w:instrText xml:space="preserve">PAGE  </w:instrText>
                </w:r>
                <w:r>
                  <w:rPr>
                    <w:rStyle w:val="10"/>
                    <w:rFonts w:ascii="宋体" w:hAnsi="宋体" w:cs="宋体"/>
                    <w:sz w:val="28"/>
                    <w:szCs w:val="28"/>
                  </w:rPr>
                  <w:fldChar w:fldCharType="separate"/>
                </w:r>
                <w:r>
                  <w:rPr>
                    <w:rStyle w:val="10"/>
                    <w:rFonts w:ascii="宋体" w:hAnsi="宋体" w:cs="宋体"/>
                    <w:sz w:val="28"/>
                    <w:szCs w:val="28"/>
                  </w:rPr>
                  <w:t>1</w:t>
                </w:r>
                <w:r>
                  <w:rPr>
                    <w:rStyle w:val="10"/>
                    <w:rFonts w:ascii="宋体" w:hAnsi="宋体" w:cs="宋体"/>
                    <w:sz w:val="28"/>
                    <w:szCs w:val="28"/>
                  </w:rPr>
                  <w:fldChar w:fldCharType="end"/>
                </w:r>
              </w:p>
              <w:p>
                <w:pPr>
                  <w:rPr>
                    <w:rFonts w:cs="Times New Roman"/>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none"/>
      <w:pStyle w:val="2"/>
      <w:suff w:val="nothing"/>
      <w:lvlText w:val=""/>
      <w:lvlJc w:val="left"/>
      <w:pPr>
        <w:tabs>
          <w:tab w:val="left" w:pos="0"/>
        </w:tabs>
      </w:pPr>
      <w:rPr>
        <w:rFonts w:cs="Times New Roman"/>
      </w:rPr>
    </w:lvl>
    <w:lvl w:ilvl="1" w:tentative="0">
      <w:start w:val="1"/>
      <w:numFmt w:val="none"/>
      <w:suff w:val="nothing"/>
      <w:lvlText w:val=""/>
      <w:lvlJc w:val="left"/>
      <w:pPr>
        <w:tabs>
          <w:tab w:val="left" w:pos="0"/>
        </w:tabs>
      </w:pPr>
      <w:rPr>
        <w:rFonts w:cs="Times New Roman"/>
      </w:rPr>
    </w:lvl>
    <w:lvl w:ilvl="2" w:tentative="0">
      <w:start w:val="1"/>
      <w:numFmt w:val="none"/>
      <w:suff w:val="nothing"/>
      <w:lvlText w:val=""/>
      <w:lvlJc w:val="left"/>
      <w:pPr>
        <w:tabs>
          <w:tab w:val="left" w:pos="0"/>
        </w:tabs>
      </w:pPr>
      <w:rPr>
        <w:rFonts w:cs="Times New Roman"/>
      </w:rPr>
    </w:lvl>
    <w:lvl w:ilvl="3" w:tentative="0">
      <w:start w:val="1"/>
      <w:numFmt w:val="none"/>
      <w:suff w:val="nothing"/>
      <w:lvlText w:val=""/>
      <w:lvlJc w:val="left"/>
      <w:pPr>
        <w:tabs>
          <w:tab w:val="left" w:pos="0"/>
        </w:tabs>
      </w:pPr>
      <w:rPr>
        <w:rFonts w:cs="Times New Roman"/>
      </w:rPr>
    </w:lvl>
    <w:lvl w:ilvl="4" w:tentative="0">
      <w:start w:val="1"/>
      <w:numFmt w:val="none"/>
      <w:suff w:val="nothing"/>
      <w:lvlText w:val=""/>
      <w:lvlJc w:val="left"/>
      <w:pPr>
        <w:tabs>
          <w:tab w:val="left" w:pos="0"/>
        </w:tabs>
      </w:pPr>
      <w:rPr>
        <w:rFonts w:cs="Times New Roman"/>
      </w:rPr>
    </w:lvl>
    <w:lvl w:ilvl="5" w:tentative="0">
      <w:start w:val="1"/>
      <w:numFmt w:val="none"/>
      <w:suff w:val="nothing"/>
      <w:lvlText w:val=""/>
      <w:lvlJc w:val="left"/>
      <w:pPr>
        <w:tabs>
          <w:tab w:val="left" w:pos="0"/>
        </w:tabs>
      </w:pPr>
      <w:rPr>
        <w:rFonts w:cs="Times New Roman"/>
      </w:rPr>
    </w:lvl>
    <w:lvl w:ilvl="6" w:tentative="0">
      <w:start w:val="1"/>
      <w:numFmt w:val="none"/>
      <w:suff w:val="nothing"/>
      <w:lvlText w:val=""/>
      <w:lvlJc w:val="left"/>
      <w:pPr>
        <w:tabs>
          <w:tab w:val="left" w:pos="0"/>
        </w:tabs>
      </w:pPr>
      <w:rPr>
        <w:rFonts w:cs="Times New Roman"/>
      </w:rPr>
    </w:lvl>
    <w:lvl w:ilvl="7" w:tentative="0">
      <w:start w:val="1"/>
      <w:numFmt w:val="none"/>
      <w:suff w:val="nothing"/>
      <w:lvlText w:val=""/>
      <w:lvlJc w:val="left"/>
      <w:pPr>
        <w:tabs>
          <w:tab w:val="left" w:pos="0"/>
        </w:tabs>
      </w:pPr>
      <w:rPr>
        <w:rFonts w:cs="Times New Roman"/>
      </w:rPr>
    </w:lvl>
    <w:lvl w:ilvl="8" w:tentative="0">
      <w:start w:val="1"/>
      <w:numFmt w:val="none"/>
      <w:suff w:val="nothing"/>
      <w:lvlText w:val=""/>
      <w:lvlJc w:val="left"/>
      <w:pPr>
        <w:tabs>
          <w:tab w:val="left" w:pos="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25C"/>
    <w:rsid w:val="00002E95"/>
    <w:rsid w:val="000459ED"/>
    <w:rsid w:val="00047440"/>
    <w:rsid w:val="00051639"/>
    <w:rsid w:val="00052374"/>
    <w:rsid w:val="00053027"/>
    <w:rsid w:val="00070F60"/>
    <w:rsid w:val="00075FE2"/>
    <w:rsid w:val="00084629"/>
    <w:rsid w:val="0008779F"/>
    <w:rsid w:val="00092696"/>
    <w:rsid w:val="000A3819"/>
    <w:rsid w:val="000B65EE"/>
    <w:rsid w:val="000C1635"/>
    <w:rsid w:val="000E464D"/>
    <w:rsid w:val="000E7162"/>
    <w:rsid w:val="001017D3"/>
    <w:rsid w:val="0011488C"/>
    <w:rsid w:val="001173D7"/>
    <w:rsid w:val="0011760E"/>
    <w:rsid w:val="00126C69"/>
    <w:rsid w:val="00135426"/>
    <w:rsid w:val="00150070"/>
    <w:rsid w:val="00152612"/>
    <w:rsid w:val="00153172"/>
    <w:rsid w:val="0015420F"/>
    <w:rsid w:val="00174EAC"/>
    <w:rsid w:val="001A0F8A"/>
    <w:rsid w:val="001A2396"/>
    <w:rsid w:val="001B73B0"/>
    <w:rsid w:val="001B7CFD"/>
    <w:rsid w:val="001C4D55"/>
    <w:rsid w:val="001C6BBA"/>
    <w:rsid w:val="001D4A82"/>
    <w:rsid w:val="001F5220"/>
    <w:rsid w:val="00202C29"/>
    <w:rsid w:val="00207DB9"/>
    <w:rsid w:val="002173BB"/>
    <w:rsid w:val="00224EDC"/>
    <w:rsid w:val="00225522"/>
    <w:rsid w:val="00226263"/>
    <w:rsid w:val="00241843"/>
    <w:rsid w:val="00243059"/>
    <w:rsid w:val="0026025C"/>
    <w:rsid w:val="00260875"/>
    <w:rsid w:val="00273BD1"/>
    <w:rsid w:val="00276379"/>
    <w:rsid w:val="0029472E"/>
    <w:rsid w:val="002B17CA"/>
    <w:rsid w:val="002B6577"/>
    <w:rsid w:val="00305AD7"/>
    <w:rsid w:val="003115EE"/>
    <w:rsid w:val="00312D69"/>
    <w:rsid w:val="0031594F"/>
    <w:rsid w:val="003522C7"/>
    <w:rsid w:val="0035615F"/>
    <w:rsid w:val="003675C8"/>
    <w:rsid w:val="00371F5A"/>
    <w:rsid w:val="00374779"/>
    <w:rsid w:val="00374DDE"/>
    <w:rsid w:val="00384D9A"/>
    <w:rsid w:val="00387D3B"/>
    <w:rsid w:val="00390F1F"/>
    <w:rsid w:val="00396995"/>
    <w:rsid w:val="003A21D4"/>
    <w:rsid w:val="003B39F0"/>
    <w:rsid w:val="003C6E55"/>
    <w:rsid w:val="003C705F"/>
    <w:rsid w:val="00403779"/>
    <w:rsid w:val="00405CDA"/>
    <w:rsid w:val="00406CC3"/>
    <w:rsid w:val="00445254"/>
    <w:rsid w:val="00451570"/>
    <w:rsid w:val="00451BBB"/>
    <w:rsid w:val="0048546B"/>
    <w:rsid w:val="00493950"/>
    <w:rsid w:val="004B0B90"/>
    <w:rsid w:val="004E4CE1"/>
    <w:rsid w:val="004F1474"/>
    <w:rsid w:val="00501121"/>
    <w:rsid w:val="00511DA2"/>
    <w:rsid w:val="005237BB"/>
    <w:rsid w:val="005317CF"/>
    <w:rsid w:val="00553E74"/>
    <w:rsid w:val="005550AF"/>
    <w:rsid w:val="00555B1A"/>
    <w:rsid w:val="00556BE1"/>
    <w:rsid w:val="00564E0E"/>
    <w:rsid w:val="005761C4"/>
    <w:rsid w:val="00591811"/>
    <w:rsid w:val="00597E6D"/>
    <w:rsid w:val="005A2D54"/>
    <w:rsid w:val="005B7338"/>
    <w:rsid w:val="005C660A"/>
    <w:rsid w:val="005D1502"/>
    <w:rsid w:val="005D21F1"/>
    <w:rsid w:val="005D7195"/>
    <w:rsid w:val="005F10EB"/>
    <w:rsid w:val="005F6C45"/>
    <w:rsid w:val="00616B06"/>
    <w:rsid w:val="0063106A"/>
    <w:rsid w:val="0065484D"/>
    <w:rsid w:val="006715E6"/>
    <w:rsid w:val="00677B96"/>
    <w:rsid w:val="006843C8"/>
    <w:rsid w:val="00692221"/>
    <w:rsid w:val="00695867"/>
    <w:rsid w:val="006B4D5A"/>
    <w:rsid w:val="006C16B3"/>
    <w:rsid w:val="006C7D3A"/>
    <w:rsid w:val="006E197A"/>
    <w:rsid w:val="006E4025"/>
    <w:rsid w:val="0070754E"/>
    <w:rsid w:val="00716285"/>
    <w:rsid w:val="00717442"/>
    <w:rsid w:val="007231F5"/>
    <w:rsid w:val="0073245F"/>
    <w:rsid w:val="00736C34"/>
    <w:rsid w:val="0074076F"/>
    <w:rsid w:val="00745E7C"/>
    <w:rsid w:val="007556B0"/>
    <w:rsid w:val="007608AF"/>
    <w:rsid w:val="00765569"/>
    <w:rsid w:val="00775909"/>
    <w:rsid w:val="007A3CC6"/>
    <w:rsid w:val="007C2143"/>
    <w:rsid w:val="007C5D73"/>
    <w:rsid w:val="007C7560"/>
    <w:rsid w:val="007D607F"/>
    <w:rsid w:val="007E5444"/>
    <w:rsid w:val="007F6840"/>
    <w:rsid w:val="007F70BB"/>
    <w:rsid w:val="00825AD6"/>
    <w:rsid w:val="00854838"/>
    <w:rsid w:val="00862EED"/>
    <w:rsid w:val="00863B8B"/>
    <w:rsid w:val="0087609D"/>
    <w:rsid w:val="008772C8"/>
    <w:rsid w:val="008858C0"/>
    <w:rsid w:val="008C2B5F"/>
    <w:rsid w:val="008C5CF0"/>
    <w:rsid w:val="008D048D"/>
    <w:rsid w:val="008E2560"/>
    <w:rsid w:val="008E35CC"/>
    <w:rsid w:val="008E6059"/>
    <w:rsid w:val="00915FAE"/>
    <w:rsid w:val="0092049B"/>
    <w:rsid w:val="0092122D"/>
    <w:rsid w:val="00927F08"/>
    <w:rsid w:val="00930BAB"/>
    <w:rsid w:val="00932B26"/>
    <w:rsid w:val="00976E23"/>
    <w:rsid w:val="00977FF1"/>
    <w:rsid w:val="00983559"/>
    <w:rsid w:val="00986812"/>
    <w:rsid w:val="00995500"/>
    <w:rsid w:val="009A015D"/>
    <w:rsid w:val="009A07A6"/>
    <w:rsid w:val="009A64ED"/>
    <w:rsid w:val="009C2082"/>
    <w:rsid w:val="009D06F5"/>
    <w:rsid w:val="009D7B66"/>
    <w:rsid w:val="009E328D"/>
    <w:rsid w:val="009E572D"/>
    <w:rsid w:val="009F006B"/>
    <w:rsid w:val="009F0842"/>
    <w:rsid w:val="009F54F5"/>
    <w:rsid w:val="00A12A97"/>
    <w:rsid w:val="00A33547"/>
    <w:rsid w:val="00A403D2"/>
    <w:rsid w:val="00A50DD8"/>
    <w:rsid w:val="00A65035"/>
    <w:rsid w:val="00A65695"/>
    <w:rsid w:val="00A66E6B"/>
    <w:rsid w:val="00A73D30"/>
    <w:rsid w:val="00AA79AC"/>
    <w:rsid w:val="00AE003D"/>
    <w:rsid w:val="00AE4C0D"/>
    <w:rsid w:val="00AF20C9"/>
    <w:rsid w:val="00B03181"/>
    <w:rsid w:val="00B15FEA"/>
    <w:rsid w:val="00B21EBA"/>
    <w:rsid w:val="00B221BA"/>
    <w:rsid w:val="00B247C1"/>
    <w:rsid w:val="00B323EA"/>
    <w:rsid w:val="00B43102"/>
    <w:rsid w:val="00B43106"/>
    <w:rsid w:val="00B4435A"/>
    <w:rsid w:val="00B52932"/>
    <w:rsid w:val="00B546BF"/>
    <w:rsid w:val="00B57DA2"/>
    <w:rsid w:val="00B616F4"/>
    <w:rsid w:val="00B626FA"/>
    <w:rsid w:val="00B72C8F"/>
    <w:rsid w:val="00B73D67"/>
    <w:rsid w:val="00B74B5E"/>
    <w:rsid w:val="00B7709A"/>
    <w:rsid w:val="00B85930"/>
    <w:rsid w:val="00B9607B"/>
    <w:rsid w:val="00B967D3"/>
    <w:rsid w:val="00BA2DD0"/>
    <w:rsid w:val="00BA53C4"/>
    <w:rsid w:val="00BB2801"/>
    <w:rsid w:val="00BC3573"/>
    <w:rsid w:val="00BC4356"/>
    <w:rsid w:val="00BD605B"/>
    <w:rsid w:val="00BF2DEA"/>
    <w:rsid w:val="00C01FF5"/>
    <w:rsid w:val="00C13146"/>
    <w:rsid w:val="00C37FB2"/>
    <w:rsid w:val="00C43B53"/>
    <w:rsid w:val="00C54D20"/>
    <w:rsid w:val="00C91A27"/>
    <w:rsid w:val="00CB7295"/>
    <w:rsid w:val="00CD08D1"/>
    <w:rsid w:val="00CD7F21"/>
    <w:rsid w:val="00D04CA6"/>
    <w:rsid w:val="00D0771A"/>
    <w:rsid w:val="00D1425C"/>
    <w:rsid w:val="00D14891"/>
    <w:rsid w:val="00D148BF"/>
    <w:rsid w:val="00D26231"/>
    <w:rsid w:val="00D354CD"/>
    <w:rsid w:val="00D4783B"/>
    <w:rsid w:val="00D47C96"/>
    <w:rsid w:val="00D54CA2"/>
    <w:rsid w:val="00D80769"/>
    <w:rsid w:val="00DC0CCC"/>
    <w:rsid w:val="00DC5BBC"/>
    <w:rsid w:val="00DD38BD"/>
    <w:rsid w:val="00DE2D7F"/>
    <w:rsid w:val="00DE65DD"/>
    <w:rsid w:val="00DF63C7"/>
    <w:rsid w:val="00DF7B30"/>
    <w:rsid w:val="00E0162D"/>
    <w:rsid w:val="00E03F31"/>
    <w:rsid w:val="00E05107"/>
    <w:rsid w:val="00E10013"/>
    <w:rsid w:val="00E21E15"/>
    <w:rsid w:val="00E3419D"/>
    <w:rsid w:val="00E42A18"/>
    <w:rsid w:val="00E47B93"/>
    <w:rsid w:val="00E612D9"/>
    <w:rsid w:val="00E658D5"/>
    <w:rsid w:val="00E95B58"/>
    <w:rsid w:val="00E966C4"/>
    <w:rsid w:val="00EC55E8"/>
    <w:rsid w:val="00EC589F"/>
    <w:rsid w:val="00ED48A1"/>
    <w:rsid w:val="00EE6CDF"/>
    <w:rsid w:val="00EF6457"/>
    <w:rsid w:val="00F10757"/>
    <w:rsid w:val="00F43A88"/>
    <w:rsid w:val="00F57BBC"/>
    <w:rsid w:val="00F65D10"/>
    <w:rsid w:val="00F900A9"/>
    <w:rsid w:val="00F97970"/>
    <w:rsid w:val="00FA2644"/>
    <w:rsid w:val="00FB60EE"/>
    <w:rsid w:val="00FD09F0"/>
    <w:rsid w:val="00FD1563"/>
    <w:rsid w:val="00FE29B3"/>
    <w:rsid w:val="01D97285"/>
    <w:rsid w:val="01F833FE"/>
    <w:rsid w:val="03DF4A95"/>
    <w:rsid w:val="048532EA"/>
    <w:rsid w:val="04A66223"/>
    <w:rsid w:val="0526071C"/>
    <w:rsid w:val="05982F04"/>
    <w:rsid w:val="05E50E54"/>
    <w:rsid w:val="06E70B4D"/>
    <w:rsid w:val="07D673DA"/>
    <w:rsid w:val="08A96FF2"/>
    <w:rsid w:val="092A3E0D"/>
    <w:rsid w:val="0946100B"/>
    <w:rsid w:val="096F203C"/>
    <w:rsid w:val="0A5473DA"/>
    <w:rsid w:val="0B186487"/>
    <w:rsid w:val="0B71337B"/>
    <w:rsid w:val="0DC233A7"/>
    <w:rsid w:val="0E761E0C"/>
    <w:rsid w:val="0F674E2B"/>
    <w:rsid w:val="0F8651A5"/>
    <w:rsid w:val="0FB17394"/>
    <w:rsid w:val="0FB75B73"/>
    <w:rsid w:val="10025365"/>
    <w:rsid w:val="105A3B9E"/>
    <w:rsid w:val="10881359"/>
    <w:rsid w:val="10CD70A6"/>
    <w:rsid w:val="10F552F2"/>
    <w:rsid w:val="120449B3"/>
    <w:rsid w:val="12A841CA"/>
    <w:rsid w:val="13220799"/>
    <w:rsid w:val="132C7E80"/>
    <w:rsid w:val="13395B95"/>
    <w:rsid w:val="136E31D6"/>
    <w:rsid w:val="13967CC8"/>
    <w:rsid w:val="13AB2BBA"/>
    <w:rsid w:val="14E95669"/>
    <w:rsid w:val="15047820"/>
    <w:rsid w:val="15935F17"/>
    <w:rsid w:val="159453C1"/>
    <w:rsid w:val="15B52A9A"/>
    <w:rsid w:val="15DA0797"/>
    <w:rsid w:val="16713F21"/>
    <w:rsid w:val="16FC678F"/>
    <w:rsid w:val="19CD7803"/>
    <w:rsid w:val="1A2B123E"/>
    <w:rsid w:val="1A6636D5"/>
    <w:rsid w:val="1A73152C"/>
    <w:rsid w:val="1B410D7B"/>
    <w:rsid w:val="1B440454"/>
    <w:rsid w:val="1BE124B3"/>
    <w:rsid w:val="1C071125"/>
    <w:rsid w:val="1CBA2783"/>
    <w:rsid w:val="1DC04016"/>
    <w:rsid w:val="1DE450DB"/>
    <w:rsid w:val="1DF4264D"/>
    <w:rsid w:val="1E1B1EB7"/>
    <w:rsid w:val="1F2304A0"/>
    <w:rsid w:val="1FAF6FFE"/>
    <w:rsid w:val="207C6720"/>
    <w:rsid w:val="22787471"/>
    <w:rsid w:val="23AC3BC1"/>
    <w:rsid w:val="2490671B"/>
    <w:rsid w:val="251647F3"/>
    <w:rsid w:val="257A71F3"/>
    <w:rsid w:val="25A9126A"/>
    <w:rsid w:val="2751094D"/>
    <w:rsid w:val="27BE7ABC"/>
    <w:rsid w:val="29033856"/>
    <w:rsid w:val="29FE0507"/>
    <w:rsid w:val="2A314963"/>
    <w:rsid w:val="2A40796D"/>
    <w:rsid w:val="2B0911BE"/>
    <w:rsid w:val="2B4C591F"/>
    <w:rsid w:val="2C5215B7"/>
    <w:rsid w:val="2C851C0D"/>
    <w:rsid w:val="2CAA569C"/>
    <w:rsid w:val="2CAB37D7"/>
    <w:rsid w:val="2D9212FD"/>
    <w:rsid w:val="2F197960"/>
    <w:rsid w:val="2FCE58AD"/>
    <w:rsid w:val="303D37B9"/>
    <w:rsid w:val="30616482"/>
    <w:rsid w:val="30963B3A"/>
    <w:rsid w:val="31791713"/>
    <w:rsid w:val="32170B33"/>
    <w:rsid w:val="33404153"/>
    <w:rsid w:val="338861C6"/>
    <w:rsid w:val="34275279"/>
    <w:rsid w:val="34F36F78"/>
    <w:rsid w:val="37F91B59"/>
    <w:rsid w:val="38977220"/>
    <w:rsid w:val="38AA3612"/>
    <w:rsid w:val="393D22DD"/>
    <w:rsid w:val="394E6186"/>
    <w:rsid w:val="3A4144E4"/>
    <w:rsid w:val="3C256B74"/>
    <w:rsid w:val="41170207"/>
    <w:rsid w:val="42796B56"/>
    <w:rsid w:val="431A223A"/>
    <w:rsid w:val="43562A3E"/>
    <w:rsid w:val="43CE52FD"/>
    <w:rsid w:val="43EF1332"/>
    <w:rsid w:val="448C3F0A"/>
    <w:rsid w:val="449137A8"/>
    <w:rsid w:val="4678221C"/>
    <w:rsid w:val="47530BB4"/>
    <w:rsid w:val="47E27653"/>
    <w:rsid w:val="48163980"/>
    <w:rsid w:val="48A222EF"/>
    <w:rsid w:val="493F2E86"/>
    <w:rsid w:val="4A0F3ACB"/>
    <w:rsid w:val="4A6957BA"/>
    <w:rsid w:val="4AFF64FF"/>
    <w:rsid w:val="4C637E88"/>
    <w:rsid w:val="4D09562C"/>
    <w:rsid w:val="4F484C1A"/>
    <w:rsid w:val="50A57FB7"/>
    <w:rsid w:val="50D558F8"/>
    <w:rsid w:val="50E92F21"/>
    <w:rsid w:val="51335AE3"/>
    <w:rsid w:val="520634E8"/>
    <w:rsid w:val="524E0FCF"/>
    <w:rsid w:val="525756E5"/>
    <w:rsid w:val="5285299D"/>
    <w:rsid w:val="52B3244F"/>
    <w:rsid w:val="52C51634"/>
    <w:rsid w:val="52E81DE3"/>
    <w:rsid w:val="53587749"/>
    <w:rsid w:val="542C199A"/>
    <w:rsid w:val="56290B9C"/>
    <w:rsid w:val="57A01283"/>
    <w:rsid w:val="57B16D73"/>
    <w:rsid w:val="582E6D3E"/>
    <w:rsid w:val="58BB1D3B"/>
    <w:rsid w:val="5B823B8E"/>
    <w:rsid w:val="5CBF1355"/>
    <w:rsid w:val="5D3B2227"/>
    <w:rsid w:val="5D974384"/>
    <w:rsid w:val="5DF76CD9"/>
    <w:rsid w:val="5EB43CEC"/>
    <w:rsid w:val="5ED20702"/>
    <w:rsid w:val="60780E8B"/>
    <w:rsid w:val="60F3792E"/>
    <w:rsid w:val="61881E46"/>
    <w:rsid w:val="61A41973"/>
    <w:rsid w:val="62DC523F"/>
    <w:rsid w:val="632E4706"/>
    <w:rsid w:val="634F7074"/>
    <w:rsid w:val="63B20873"/>
    <w:rsid w:val="63C45AFD"/>
    <w:rsid w:val="646F5B44"/>
    <w:rsid w:val="64BE63F7"/>
    <w:rsid w:val="65ED1A6F"/>
    <w:rsid w:val="66084708"/>
    <w:rsid w:val="661A1E2F"/>
    <w:rsid w:val="66643116"/>
    <w:rsid w:val="66906246"/>
    <w:rsid w:val="66EF7F7D"/>
    <w:rsid w:val="673817F9"/>
    <w:rsid w:val="677C5778"/>
    <w:rsid w:val="67CB13CE"/>
    <w:rsid w:val="68360547"/>
    <w:rsid w:val="68D260CC"/>
    <w:rsid w:val="69BD137A"/>
    <w:rsid w:val="6AF12036"/>
    <w:rsid w:val="6D0F4700"/>
    <w:rsid w:val="6D252A7C"/>
    <w:rsid w:val="6D9951E9"/>
    <w:rsid w:val="6DC66FAB"/>
    <w:rsid w:val="6E847A23"/>
    <w:rsid w:val="6ECC72ED"/>
    <w:rsid w:val="6FFD6CD0"/>
    <w:rsid w:val="70820F79"/>
    <w:rsid w:val="72021F06"/>
    <w:rsid w:val="722065EB"/>
    <w:rsid w:val="726A7AC1"/>
    <w:rsid w:val="743D5172"/>
    <w:rsid w:val="744E684A"/>
    <w:rsid w:val="75205AE6"/>
    <w:rsid w:val="756351F6"/>
    <w:rsid w:val="75BF0F21"/>
    <w:rsid w:val="75D30850"/>
    <w:rsid w:val="77027DB5"/>
    <w:rsid w:val="770E7E44"/>
    <w:rsid w:val="78DF6899"/>
    <w:rsid w:val="7930545B"/>
    <w:rsid w:val="796B543C"/>
    <w:rsid w:val="7AB803C7"/>
    <w:rsid w:val="7B0A6E5A"/>
    <w:rsid w:val="7BE40EC3"/>
    <w:rsid w:val="7C6731A5"/>
    <w:rsid w:val="7D2768F9"/>
    <w:rsid w:val="7D600A56"/>
    <w:rsid w:val="7E7F3DB1"/>
    <w:rsid w:val="7F35520B"/>
    <w:rsid w:val="7FC10228"/>
    <w:rsid w:val="7FD01F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8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1"/>
    <w:qFormat/>
    <w:uiPriority w:val="99"/>
    <w:pPr>
      <w:keepNext/>
      <w:numPr>
        <w:ilvl w:val="0"/>
        <w:numId w:val="1"/>
      </w:numPr>
      <w:spacing w:before="240" w:after="120"/>
      <w:jc w:val="left"/>
      <w:outlineLvl w:val="0"/>
    </w:pPr>
    <w:rPr>
      <w:rFonts w:ascii="Times New Roman" w:hAnsi="Times New Roman" w:cs="Times New Roman"/>
      <w:color w:val="00000A"/>
      <w:sz w:val="24"/>
      <w:szCs w:val="24"/>
      <w:lang w:val="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8"/>
    <w:semiHidden/>
    <w:unhideWhenUsed/>
    <w:qFormat/>
    <w:locked/>
    <w:uiPriority w:val="99"/>
    <w:pPr>
      <w:ind w:left="100" w:leftChars="2500"/>
    </w:pPr>
  </w:style>
  <w:style w:type="paragraph" w:styleId="4">
    <w:name w:val="Balloon Text"/>
    <w:basedOn w:val="1"/>
    <w:link w:val="17"/>
    <w:semiHidden/>
    <w:unhideWhenUsed/>
    <w:qFormat/>
    <w:locked/>
    <w:uiPriority w:val="99"/>
    <w:rPr>
      <w:sz w:val="18"/>
      <w:szCs w:val="18"/>
    </w:rPr>
  </w:style>
  <w:style w:type="paragraph" w:styleId="5">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szCs w:val="24"/>
    </w:rPr>
  </w:style>
  <w:style w:type="character" w:styleId="10">
    <w:name w:val="page number"/>
    <w:basedOn w:val="9"/>
    <w:qFormat/>
    <w:uiPriority w:val="99"/>
    <w:rPr>
      <w:rFonts w:cs="Times New Roman"/>
    </w:rPr>
  </w:style>
  <w:style w:type="character" w:customStyle="1" w:styleId="11">
    <w:name w:val="标题 1 Char"/>
    <w:basedOn w:val="9"/>
    <w:link w:val="2"/>
    <w:qFormat/>
    <w:locked/>
    <w:uiPriority w:val="99"/>
    <w:rPr>
      <w:rFonts w:ascii="Calibri" w:hAnsi="Calibri" w:cs="Calibri"/>
      <w:b/>
      <w:bCs/>
      <w:kern w:val="44"/>
      <w:sz w:val="44"/>
      <w:szCs w:val="44"/>
    </w:rPr>
  </w:style>
  <w:style w:type="character" w:customStyle="1" w:styleId="12">
    <w:name w:val="页脚 Char"/>
    <w:basedOn w:val="9"/>
    <w:link w:val="5"/>
    <w:semiHidden/>
    <w:qFormat/>
    <w:locked/>
    <w:uiPriority w:val="99"/>
    <w:rPr>
      <w:rFonts w:ascii="Calibri" w:hAnsi="Calibri" w:cs="Calibri"/>
      <w:sz w:val="18"/>
      <w:szCs w:val="18"/>
    </w:rPr>
  </w:style>
  <w:style w:type="paragraph" w:customStyle="1" w:styleId="13">
    <w:name w:val="2文本"/>
    <w:qFormat/>
    <w:uiPriority w:val="99"/>
    <w:pPr>
      <w:widowControl w:val="0"/>
      <w:suppressAutoHyphens/>
      <w:ind w:firstLine="200"/>
      <w:jc w:val="both"/>
    </w:pPr>
    <w:rPr>
      <w:rFonts w:ascii="Times New Roman" w:hAnsi="Times New Roman" w:eastAsia="宋体" w:cs="Times New Roman"/>
      <w:color w:val="000000"/>
      <w:kern w:val="1"/>
      <w:lang w:val="en-US" w:eastAsia="zh-CN" w:bidi="ar-SA"/>
    </w:rPr>
  </w:style>
  <w:style w:type="paragraph" w:customStyle="1" w:styleId="14">
    <w:name w:val="p17"/>
    <w:basedOn w:val="1"/>
    <w:qFormat/>
    <w:uiPriority w:val="99"/>
    <w:pPr>
      <w:widowControl/>
      <w:spacing w:before="100" w:after="100"/>
      <w:jc w:val="left"/>
    </w:pPr>
    <w:rPr>
      <w:rFonts w:ascii="宋体" w:hAnsi="宋体" w:cs="宋体"/>
      <w:kern w:val="0"/>
      <w:sz w:val="24"/>
      <w:szCs w:val="24"/>
    </w:rPr>
  </w:style>
  <w:style w:type="character" w:customStyle="1" w:styleId="15">
    <w:name w:val="页眉 Char"/>
    <w:basedOn w:val="9"/>
    <w:link w:val="6"/>
    <w:qFormat/>
    <w:locked/>
    <w:uiPriority w:val="99"/>
    <w:rPr>
      <w:rFonts w:ascii="Calibri" w:hAnsi="Calibri" w:cs="Calibri"/>
      <w:kern w:val="2"/>
      <w:sz w:val="18"/>
      <w:szCs w:val="18"/>
    </w:rPr>
  </w:style>
  <w:style w:type="paragraph" w:styleId="16">
    <w:name w:val="List Paragraph"/>
    <w:basedOn w:val="1"/>
    <w:qFormat/>
    <w:uiPriority w:val="99"/>
    <w:pPr>
      <w:ind w:firstLine="420" w:firstLineChars="200"/>
    </w:pPr>
  </w:style>
  <w:style w:type="character" w:customStyle="1" w:styleId="17">
    <w:name w:val="批注框文本 Char"/>
    <w:basedOn w:val="9"/>
    <w:link w:val="4"/>
    <w:semiHidden/>
    <w:qFormat/>
    <w:uiPriority w:val="99"/>
    <w:rPr>
      <w:rFonts w:ascii="Calibri" w:hAnsi="Calibri" w:cs="Calibri"/>
      <w:kern w:val="2"/>
      <w:sz w:val="18"/>
      <w:szCs w:val="18"/>
    </w:rPr>
  </w:style>
  <w:style w:type="character" w:customStyle="1" w:styleId="18">
    <w:name w:val="日期 Char"/>
    <w:basedOn w:val="9"/>
    <w:link w:val="3"/>
    <w:semiHidden/>
    <w:qFormat/>
    <w:uiPriority w:val="99"/>
    <w:rPr>
      <w:rFonts w:ascii="Calibri" w:hAnsi="Calibri" w:cs="Calibri"/>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80"/>
    <customShpInfo spid="_x0000_s1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3</Pages>
  <Words>1197</Words>
  <Characters>224</Characters>
  <Lines>1</Lines>
  <Paragraphs>2</Paragraphs>
  <TotalTime>2</TotalTime>
  <ScaleCrop>false</ScaleCrop>
  <LinksUpToDate>false</LinksUpToDate>
  <CharactersWithSpaces>1419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2019-04-09T01:22:00Z</dcterms:created>
  <dc:creator>wenxiumei</dc:creator>
  <cp:lastModifiedBy>施婉弘</cp:lastModifiedBy>
  <cp:lastPrinted>2024-08-23T01:22:00Z</cp:lastPrinted>
  <dcterms:modified xsi:type="dcterms:W3CDTF">2024-09-03T02:45:09Z</dcterms:modified>
  <dc:title>                      </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